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74E3D8BF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1A760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40C916F5" w14:textId="3C0EA1C6" w:rsidR="00261CD9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</w:t>
      </w:r>
      <w:r w:rsidR="001A760A">
        <w:rPr>
          <w:sz w:val="28"/>
          <w:szCs w:val="28"/>
        </w:rPr>
        <w:t>2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1A760A">
        <w:rPr>
          <w:sz w:val="28"/>
          <w:szCs w:val="28"/>
        </w:rPr>
        <w:t>d</w:t>
      </w:r>
      <w:r w:rsidR="001A760A" w:rsidRPr="001A760A">
        <w:rPr>
          <w:sz w:val="28"/>
          <w:szCs w:val="28"/>
        </w:rPr>
        <w:t>ispoe sobre a concessão de comodato de imóveis à AGUACU-Associação de Aquicultores do Rio Iguaçu do Município de Reserva do Iguaçu e dá outras providências.</w:t>
      </w:r>
    </w:p>
    <w:p w14:paraId="511E8E79" w14:textId="77777777" w:rsidR="00785E7E" w:rsidRDefault="00785E7E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021D6093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404E47">
        <w:rPr>
          <w:sz w:val="28"/>
          <w:szCs w:val="28"/>
        </w:rPr>
        <w:t>1</w:t>
      </w:r>
      <w:r w:rsidR="001A760A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5F5216C0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A760A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760A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06697"/>
    <w:rsid w:val="00721835"/>
    <w:rsid w:val="0077077C"/>
    <w:rsid w:val="007843C4"/>
    <w:rsid w:val="00785E7E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2026-04-22T13:47:00Z</cp:lastPrinted>
  <dcterms:created xsi:type="dcterms:W3CDTF">2026-05-06T11:22:00Z</dcterms:created>
  <dcterms:modified xsi:type="dcterms:W3CDTF">2026-05-06T11:22:00Z</dcterms:modified>
  <dc:language>pt-BR</dc:language>
</cp:coreProperties>
</file>